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BE" w:rsidRDefault="009D3E1F" w:rsidP="003B2570">
      <w:pPr>
        <w:spacing w:line="360" w:lineRule="auto"/>
        <w:jc w:val="both"/>
        <w:rPr>
          <w:rFonts w:ascii="Arial" w:hAnsi="Arial" w:cs="Arial"/>
          <w:b/>
          <w:sz w:val="20"/>
          <w:szCs w:val="20"/>
        </w:rPr>
      </w:pPr>
      <w:r>
        <w:rPr>
          <w:rFonts w:ascii="Arial" w:hAnsi="Arial" w:cs="Arial"/>
          <w:b/>
          <w:sz w:val="20"/>
          <w:szCs w:val="20"/>
        </w:rPr>
        <w:t>HT</w:t>
      </w:r>
      <w:r w:rsidR="00E534B9">
        <w:rPr>
          <w:rFonts w:ascii="Arial" w:hAnsi="Arial" w:cs="Arial"/>
          <w:b/>
          <w:sz w:val="20"/>
          <w:szCs w:val="20"/>
        </w:rPr>
        <w:t>M</w:t>
      </w:r>
      <w:r w:rsidR="00467BC0" w:rsidRPr="00467BC0">
        <w:rPr>
          <w:rFonts w:ascii="Arial" w:hAnsi="Arial" w:cs="Arial"/>
          <w:b/>
          <w:sz w:val="20"/>
          <w:szCs w:val="20"/>
        </w:rPr>
        <w:t xml:space="preserve">: </w:t>
      </w:r>
      <w:r w:rsidR="00026B30" w:rsidRPr="00026B30">
        <w:rPr>
          <w:rFonts w:ascii="Arial" w:hAnsi="Arial" w:cs="Arial"/>
          <w:b/>
          <w:sz w:val="20"/>
          <w:szCs w:val="20"/>
        </w:rPr>
        <w:t>Explanation for</w:t>
      </w:r>
      <w:r w:rsidR="00887B6C">
        <w:rPr>
          <w:rFonts w:ascii="Arial" w:hAnsi="Arial" w:cs="Arial"/>
          <w:b/>
          <w:sz w:val="20"/>
          <w:szCs w:val="20"/>
        </w:rPr>
        <w:t xml:space="preserve"> the</w:t>
      </w:r>
      <w:r w:rsidR="00FD2D19">
        <w:rPr>
          <w:rFonts w:ascii="Arial" w:hAnsi="Arial" w:cs="Arial"/>
          <w:b/>
          <w:sz w:val="20"/>
          <w:szCs w:val="20"/>
        </w:rPr>
        <w:t xml:space="preserve"> difference</w:t>
      </w:r>
      <w:r w:rsidR="00831901">
        <w:rPr>
          <w:rFonts w:ascii="Arial" w:hAnsi="Arial" w:cs="Arial"/>
          <w:b/>
          <w:sz w:val="20"/>
          <w:szCs w:val="20"/>
        </w:rPr>
        <w:t xml:space="preserve"> of over 10%</w:t>
      </w:r>
      <w:r w:rsidR="00FD2D19">
        <w:rPr>
          <w:rFonts w:ascii="Arial" w:hAnsi="Arial" w:cs="Arial"/>
          <w:b/>
          <w:sz w:val="20"/>
          <w:szCs w:val="20"/>
        </w:rPr>
        <w:t xml:space="preserve"> in</w:t>
      </w:r>
      <w:r w:rsidR="00C761E0">
        <w:rPr>
          <w:rFonts w:ascii="Arial" w:hAnsi="Arial" w:cs="Arial"/>
          <w:b/>
          <w:sz w:val="20"/>
          <w:szCs w:val="20"/>
        </w:rPr>
        <w:t xml:space="preserve"> the </w:t>
      </w:r>
      <w:r w:rsidR="00A308E4">
        <w:rPr>
          <w:rFonts w:ascii="Arial" w:hAnsi="Arial" w:cs="Arial"/>
          <w:b/>
          <w:sz w:val="20"/>
          <w:szCs w:val="20"/>
        </w:rPr>
        <w:t>after-tax profit</w:t>
      </w:r>
      <w:r w:rsidR="00C761E0">
        <w:rPr>
          <w:rFonts w:ascii="Arial" w:hAnsi="Arial" w:cs="Arial"/>
          <w:b/>
          <w:sz w:val="20"/>
          <w:szCs w:val="20"/>
        </w:rPr>
        <w:t xml:space="preserve"> in</w:t>
      </w:r>
      <w:r w:rsidR="00887B6C">
        <w:rPr>
          <w:rFonts w:ascii="Arial" w:hAnsi="Arial" w:cs="Arial"/>
          <w:b/>
          <w:sz w:val="20"/>
          <w:szCs w:val="20"/>
        </w:rPr>
        <w:t xml:space="preserve"> </w:t>
      </w:r>
      <w:r w:rsidR="00D778AE">
        <w:rPr>
          <w:rFonts w:ascii="Arial" w:hAnsi="Arial" w:cs="Arial"/>
          <w:b/>
          <w:sz w:val="20"/>
          <w:szCs w:val="20"/>
        </w:rPr>
        <w:t>the</w:t>
      </w:r>
      <w:r w:rsidR="007F6A0E">
        <w:rPr>
          <w:rFonts w:ascii="Arial" w:hAnsi="Arial" w:cs="Arial"/>
          <w:b/>
          <w:sz w:val="20"/>
          <w:szCs w:val="20"/>
        </w:rPr>
        <w:t xml:space="preserve"> </w:t>
      </w:r>
      <w:r>
        <w:rPr>
          <w:rFonts w:ascii="Arial" w:hAnsi="Arial" w:cs="Arial"/>
          <w:b/>
          <w:sz w:val="20"/>
          <w:szCs w:val="20"/>
        </w:rPr>
        <w:t xml:space="preserve">separate and consolidated </w:t>
      </w:r>
      <w:r w:rsidR="00F02E19">
        <w:rPr>
          <w:rFonts w:ascii="Arial" w:hAnsi="Arial" w:cs="Arial"/>
          <w:b/>
          <w:sz w:val="20"/>
          <w:szCs w:val="20"/>
        </w:rPr>
        <w:t xml:space="preserve">financial statement </w:t>
      </w:r>
      <w:r w:rsidR="00761E26">
        <w:rPr>
          <w:rFonts w:ascii="Arial" w:hAnsi="Arial" w:cs="Arial"/>
          <w:b/>
          <w:sz w:val="20"/>
          <w:szCs w:val="20"/>
        </w:rPr>
        <w:t xml:space="preserve">of </w:t>
      </w:r>
      <w:r w:rsidR="006F778A">
        <w:rPr>
          <w:rFonts w:ascii="Arial" w:hAnsi="Arial" w:cs="Arial"/>
          <w:b/>
          <w:sz w:val="20"/>
          <w:szCs w:val="20"/>
        </w:rPr>
        <w:t>Q.</w:t>
      </w:r>
      <w:r w:rsidR="00023E0E">
        <w:rPr>
          <w:rFonts w:ascii="Arial" w:hAnsi="Arial" w:cs="Arial"/>
          <w:b/>
          <w:sz w:val="20"/>
          <w:szCs w:val="20"/>
        </w:rPr>
        <w:t>2</w:t>
      </w:r>
      <w:r w:rsidR="006F778A">
        <w:rPr>
          <w:rFonts w:ascii="Arial" w:hAnsi="Arial" w:cs="Arial"/>
          <w:b/>
          <w:sz w:val="20"/>
          <w:szCs w:val="20"/>
        </w:rPr>
        <w:t>/ 2020</w:t>
      </w:r>
      <w:r w:rsidR="006623D8">
        <w:rPr>
          <w:rFonts w:ascii="Arial" w:hAnsi="Arial" w:cs="Arial"/>
          <w:b/>
          <w:sz w:val="20"/>
          <w:szCs w:val="20"/>
        </w:rPr>
        <w:t xml:space="preserve"> </w:t>
      </w:r>
      <w:r w:rsidR="00FD2D19">
        <w:rPr>
          <w:rFonts w:ascii="Arial" w:hAnsi="Arial" w:cs="Arial"/>
          <w:b/>
          <w:sz w:val="20"/>
          <w:szCs w:val="20"/>
        </w:rPr>
        <w:t>year on year</w:t>
      </w:r>
      <w:r w:rsidR="00023E0E">
        <w:rPr>
          <w:rFonts w:ascii="Arial" w:hAnsi="Arial" w:cs="Arial"/>
          <w:b/>
          <w:sz w:val="20"/>
          <w:szCs w:val="20"/>
        </w:rPr>
        <w:t xml:space="preserve"> and loss of profit after tax in the consolidated financial statement of Quarter 2/ 2020</w:t>
      </w:r>
    </w:p>
    <w:p w:rsidR="00A308E4" w:rsidRDefault="00E36A48" w:rsidP="00EA67D4">
      <w:pPr>
        <w:spacing w:line="360" w:lineRule="auto"/>
        <w:jc w:val="both"/>
        <w:rPr>
          <w:rFonts w:ascii="Arial" w:hAnsi="Arial" w:cs="Arial"/>
          <w:sz w:val="20"/>
          <w:szCs w:val="20"/>
        </w:rPr>
      </w:pPr>
      <w:r>
        <w:rPr>
          <w:rFonts w:ascii="Arial" w:hAnsi="Arial" w:cs="Arial"/>
          <w:sz w:val="20"/>
          <w:szCs w:val="20"/>
        </w:rPr>
        <w:t xml:space="preserve">On </w:t>
      </w:r>
      <w:r w:rsidR="00023E0E">
        <w:rPr>
          <w:rFonts w:ascii="Arial" w:hAnsi="Arial" w:cs="Arial"/>
          <w:sz w:val="20"/>
          <w:szCs w:val="20"/>
        </w:rPr>
        <w:t>30 July</w:t>
      </w:r>
      <w:r w:rsidR="00A62855">
        <w:rPr>
          <w:rFonts w:ascii="Arial" w:hAnsi="Arial" w:cs="Arial"/>
          <w:sz w:val="20"/>
          <w:szCs w:val="20"/>
        </w:rPr>
        <w:t xml:space="preserve"> 2020</w:t>
      </w:r>
      <w:r w:rsidR="00467BC0">
        <w:rPr>
          <w:rFonts w:ascii="Arial" w:hAnsi="Arial" w:cs="Arial"/>
          <w:sz w:val="20"/>
          <w:szCs w:val="20"/>
        </w:rPr>
        <w:t xml:space="preserve">, </w:t>
      </w:r>
      <w:r w:rsidR="00DD507A" w:rsidRPr="00DD507A">
        <w:rPr>
          <w:rFonts w:ascii="Arial" w:hAnsi="Arial" w:cs="Arial"/>
          <w:sz w:val="20"/>
          <w:szCs w:val="20"/>
        </w:rPr>
        <w:t xml:space="preserve">Hanoi Trade Joint Stock Corporation </w:t>
      </w:r>
      <w:r w:rsidR="00026B30">
        <w:rPr>
          <w:rFonts w:ascii="Arial" w:hAnsi="Arial" w:cs="Arial"/>
          <w:sz w:val="20"/>
          <w:szCs w:val="20"/>
        </w:rPr>
        <w:t>explained</w:t>
      </w:r>
      <w:r w:rsidR="00467BC0">
        <w:rPr>
          <w:rFonts w:ascii="Arial" w:hAnsi="Arial" w:cs="Arial"/>
          <w:sz w:val="20"/>
          <w:szCs w:val="20"/>
        </w:rPr>
        <w:t xml:space="preserve"> </w:t>
      </w:r>
      <w:r w:rsidR="00023E0E" w:rsidRPr="00023E0E">
        <w:rPr>
          <w:rFonts w:ascii="Arial" w:hAnsi="Arial" w:cs="Arial"/>
          <w:sz w:val="20"/>
          <w:szCs w:val="20"/>
        </w:rPr>
        <w:t>the difference of over 10% in the after-tax profit in the separate and consolidated financial statement of Q.2/ 2020 year on year and loss of profit after tax in the consolidated financial statement of Quarter 2/ 2020</w:t>
      </w:r>
      <w:r w:rsidR="00023E0E">
        <w:rPr>
          <w:rFonts w:ascii="Arial" w:hAnsi="Arial" w:cs="Arial"/>
          <w:b/>
          <w:sz w:val="20"/>
          <w:szCs w:val="20"/>
        </w:rPr>
        <w:t xml:space="preserve"> </w:t>
      </w:r>
      <w:r w:rsidR="00467BC0">
        <w:rPr>
          <w:rFonts w:ascii="Arial" w:hAnsi="Arial" w:cs="Arial"/>
          <w:sz w:val="20"/>
          <w:szCs w:val="20"/>
        </w:rPr>
        <w:t>as follows:</w:t>
      </w:r>
      <w:r w:rsidR="00EA098E">
        <w:rPr>
          <w:rFonts w:ascii="Arial" w:hAnsi="Arial" w:cs="Arial"/>
          <w:sz w:val="20"/>
          <w:szCs w:val="20"/>
        </w:rPr>
        <w:t xml:space="preserve"> </w:t>
      </w:r>
    </w:p>
    <w:tbl>
      <w:tblPr>
        <w:tblStyle w:val="TableGrid"/>
        <w:tblW w:w="0" w:type="auto"/>
        <w:tblLook w:val="04A0" w:firstRow="1" w:lastRow="0" w:firstColumn="1" w:lastColumn="0" w:noHBand="0" w:noVBand="1"/>
      </w:tblPr>
      <w:tblGrid>
        <w:gridCol w:w="3330"/>
        <w:gridCol w:w="1629"/>
        <w:gridCol w:w="1619"/>
        <w:gridCol w:w="1740"/>
        <w:gridCol w:w="1258"/>
      </w:tblGrid>
      <w:tr w:rsidR="00DD507A" w:rsidTr="00023E0E">
        <w:tc>
          <w:tcPr>
            <w:tcW w:w="3438" w:type="dxa"/>
            <w:vMerge w:val="restart"/>
            <w:vAlign w:val="center"/>
          </w:tcPr>
          <w:p w:rsidR="00DD507A" w:rsidRPr="00023E0E" w:rsidRDefault="00DD507A" w:rsidP="00023E0E">
            <w:pPr>
              <w:spacing w:line="360" w:lineRule="auto"/>
              <w:jc w:val="center"/>
              <w:rPr>
                <w:rFonts w:ascii="Arial" w:hAnsi="Arial" w:cs="Arial"/>
                <w:b/>
                <w:sz w:val="20"/>
                <w:szCs w:val="20"/>
              </w:rPr>
            </w:pPr>
            <w:r w:rsidRPr="00023E0E">
              <w:rPr>
                <w:rFonts w:ascii="Arial" w:hAnsi="Arial" w:cs="Arial"/>
                <w:b/>
                <w:sz w:val="20"/>
                <w:szCs w:val="20"/>
              </w:rPr>
              <w:t>Indicator</w:t>
            </w:r>
          </w:p>
        </w:tc>
        <w:tc>
          <w:tcPr>
            <w:tcW w:w="1620" w:type="dxa"/>
            <w:vMerge w:val="restart"/>
            <w:vAlign w:val="center"/>
          </w:tcPr>
          <w:p w:rsidR="00DD507A" w:rsidRPr="00023E0E" w:rsidRDefault="00DD507A" w:rsidP="00023E0E">
            <w:pPr>
              <w:spacing w:line="360" w:lineRule="auto"/>
              <w:jc w:val="center"/>
              <w:rPr>
                <w:rFonts w:ascii="Arial" w:hAnsi="Arial" w:cs="Arial"/>
                <w:b/>
                <w:sz w:val="20"/>
                <w:szCs w:val="20"/>
              </w:rPr>
            </w:pPr>
            <w:r w:rsidRPr="00023E0E">
              <w:rPr>
                <w:rFonts w:ascii="Arial" w:hAnsi="Arial" w:cs="Arial"/>
                <w:b/>
                <w:sz w:val="20"/>
                <w:szCs w:val="20"/>
              </w:rPr>
              <w:t>Q.</w:t>
            </w:r>
            <w:r w:rsidR="00023E0E">
              <w:rPr>
                <w:rFonts w:ascii="Arial" w:hAnsi="Arial" w:cs="Arial"/>
                <w:b/>
                <w:sz w:val="20"/>
                <w:szCs w:val="20"/>
              </w:rPr>
              <w:t>2</w:t>
            </w:r>
            <w:r w:rsidRPr="00023E0E">
              <w:rPr>
                <w:rFonts w:ascii="Arial" w:hAnsi="Arial" w:cs="Arial"/>
                <w:b/>
                <w:sz w:val="20"/>
                <w:szCs w:val="20"/>
              </w:rPr>
              <w:t>/ 2020</w:t>
            </w:r>
          </w:p>
        </w:tc>
        <w:tc>
          <w:tcPr>
            <w:tcW w:w="1620" w:type="dxa"/>
            <w:vMerge w:val="restart"/>
            <w:vAlign w:val="center"/>
          </w:tcPr>
          <w:p w:rsidR="00DD507A" w:rsidRPr="00023E0E" w:rsidRDefault="00DD507A" w:rsidP="00023E0E">
            <w:pPr>
              <w:spacing w:line="360" w:lineRule="auto"/>
              <w:jc w:val="center"/>
              <w:rPr>
                <w:rFonts w:ascii="Arial" w:hAnsi="Arial" w:cs="Arial"/>
                <w:b/>
                <w:sz w:val="20"/>
                <w:szCs w:val="20"/>
              </w:rPr>
            </w:pPr>
            <w:r w:rsidRPr="00023E0E">
              <w:rPr>
                <w:rFonts w:ascii="Arial" w:hAnsi="Arial" w:cs="Arial"/>
                <w:b/>
                <w:sz w:val="20"/>
                <w:szCs w:val="20"/>
              </w:rPr>
              <w:t>Q.</w:t>
            </w:r>
            <w:r w:rsidR="00023E0E">
              <w:rPr>
                <w:rFonts w:ascii="Arial" w:hAnsi="Arial" w:cs="Arial"/>
                <w:b/>
                <w:sz w:val="20"/>
                <w:szCs w:val="20"/>
              </w:rPr>
              <w:t>2</w:t>
            </w:r>
            <w:r w:rsidRPr="00023E0E">
              <w:rPr>
                <w:rFonts w:ascii="Arial" w:hAnsi="Arial" w:cs="Arial"/>
                <w:b/>
                <w:sz w:val="20"/>
                <w:szCs w:val="20"/>
              </w:rPr>
              <w:t>/ 2019</w:t>
            </w:r>
          </w:p>
        </w:tc>
        <w:tc>
          <w:tcPr>
            <w:tcW w:w="2898" w:type="dxa"/>
            <w:gridSpan w:val="2"/>
            <w:vAlign w:val="center"/>
          </w:tcPr>
          <w:p w:rsidR="00DD507A" w:rsidRPr="00023E0E" w:rsidRDefault="00DD507A" w:rsidP="00023E0E">
            <w:pPr>
              <w:spacing w:line="360" w:lineRule="auto"/>
              <w:jc w:val="center"/>
              <w:rPr>
                <w:rFonts w:ascii="Arial" w:hAnsi="Arial" w:cs="Arial"/>
                <w:b/>
                <w:sz w:val="20"/>
                <w:szCs w:val="20"/>
              </w:rPr>
            </w:pPr>
            <w:r w:rsidRPr="00023E0E">
              <w:rPr>
                <w:rFonts w:ascii="Arial" w:hAnsi="Arial" w:cs="Arial"/>
                <w:b/>
                <w:sz w:val="20"/>
                <w:szCs w:val="20"/>
              </w:rPr>
              <w:t>Difference</w:t>
            </w:r>
          </w:p>
        </w:tc>
      </w:tr>
      <w:tr w:rsidR="00DD507A" w:rsidTr="00023E0E">
        <w:tc>
          <w:tcPr>
            <w:tcW w:w="3438" w:type="dxa"/>
            <w:vMerge/>
            <w:vAlign w:val="center"/>
          </w:tcPr>
          <w:p w:rsidR="00DD507A" w:rsidRPr="00023E0E" w:rsidRDefault="00DD507A" w:rsidP="00023E0E">
            <w:pPr>
              <w:spacing w:line="360" w:lineRule="auto"/>
              <w:jc w:val="center"/>
              <w:rPr>
                <w:rFonts w:ascii="Arial" w:hAnsi="Arial" w:cs="Arial"/>
                <w:b/>
                <w:sz w:val="20"/>
                <w:szCs w:val="20"/>
              </w:rPr>
            </w:pPr>
          </w:p>
        </w:tc>
        <w:tc>
          <w:tcPr>
            <w:tcW w:w="1620" w:type="dxa"/>
            <w:vMerge/>
            <w:vAlign w:val="center"/>
          </w:tcPr>
          <w:p w:rsidR="00DD507A" w:rsidRPr="00023E0E" w:rsidRDefault="00DD507A" w:rsidP="00023E0E">
            <w:pPr>
              <w:spacing w:line="360" w:lineRule="auto"/>
              <w:jc w:val="center"/>
              <w:rPr>
                <w:rFonts w:ascii="Arial" w:hAnsi="Arial" w:cs="Arial"/>
                <w:b/>
                <w:sz w:val="20"/>
                <w:szCs w:val="20"/>
              </w:rPr>
            </w:pPr>
          </w:p>
        </w:tc>
        <w:tc>
          <w:tcPr>
            <w:tcW w:w="1620" w:type="dxa"/>
            <w:vMerge/>
            <w:vAlign w:val="center"/>
          </w:tcPr>
          <w:p w:rsidR="00DD507A" w:rsidRPr="00023E0E" w:rsidRDefault="00DD507A" w:rsidP="00023E0E">
            <w:pPr>
              <w:spacing w:line="360" w:lineRule="auto"/>
              <w:jc w:val="center"/>
              <w:rPr>
                <w:rFonts w:ascii="Arial" w:hAnsi="Arial" w:cs="Arial"/>
                <w:b/>
                <w:sz w:val="20"/>
                <w:szCs w:val="20"/>
              </w:rPr>
            </w:pPr>
          </w:p>
        </w:tc>
        <w:tc>
          <w:tcPr>
            <w:tcW w:w="1620" w:type="dxa"/>
            <w:vAlign w:val="center"/>
          </w:tcPr>
          <w:p w:rsidR="00DD507A" w:rsidRPr="00023E0E" w:rsidRDefault="00DD507A" w:rsidP="00023E0E">
            <w:pPr>
              <w:spacing w:line="360" w:lineRule="auto"/>
              <w:jc w:val="center"/>
              <w:rPr>
                <w:rFonts w:ascii="Arial" w:hAnsi="Arial" w:cs="Arial"/>
                <w:b/>
                <w:sz w:val="20"/>
                <w:szCs w:val="20"/>
              </w:rPr>
            </w:pPr>
            <w:r w:rsidRPr="00023E0E">
              <w:rPr>
                <w:rFonts w:ascii="Arial" w:hAnsi="Arial" w:cs="Arial"/>
                <w:b/>
                <w:sz w:val="20"/>
                <w:szCs w:val="20"/>
              </w:rPr>
              <w:t>Amount</w:t>
            </w:r>
          </w:p>
        </w:tc>
        <w:tc>
          <w:tcPr>
            <w:tcW w:w="1278" w:type="dxa"/>
            <w:vAlign w:val="center"/>
          </w:tcPr>
          <w:p w:rsidR="00DD507A" w:rsidRPr="00023E0E" w:rsidRDefault="00DD507A" w:rsidP="00023E0E">
            <w:pPr>
              <w:spacing w:line="360" w:lineRule="auto"/>
              <w:jc w:val="center"/>
              <w:rPr>
                <w:rFonts w:ascii="Arial" w:hAnsi="Arial" w:cs="Arial"/>
                <w:b/>
                <w:sz w:val="20"/>
                <w:szCs w:val="20"/>
              </w:rPr>
            </w:pPr>
            <w:r w:rsidRPr="00023E0E">
              <w:rPr>
                <w:rFonts w:ascii="Arial" w:hAnsi="Arial" w:cs="Arial"/>
                <w:b/>
                <w:sz w:val="20"/>
                <w:szCs w:val="20"/>
              </w:rPr>
              <w:t>Rate</w:t>
            </w:r>
          </w:p>
        </w:tc>
      </w:tr>
      <w:tr w:rsidR="009D3E1F" w:rsidTr="00EC79EE">
        <w:tc>
          <w:tcPr>
            <w:tcW w:w="3438" w:type="dxa"/>
          </w:tcPr>
          <w:p w:rsidR="009D3E1F" w:rsidRDefault="00DD507A" w:rsidP="00EA67D4">
            <w:pPr>
              <w:spacing w:line="360" w:lineRule="auto"/>
              <w:jc w:val="both"/>
              <w:rPr>
                <w:rFonts w:ascii="Arial" w:hAnsi="Arial" w:cs="Arial"/>
                <w:sz w:val="20"/>
                <w:szCs w:val="20"/>
              </w:rPr>
            </w:pPr>
            <w:r>
              <w:rPr>
                <w:rFonts w:ascii="Arial" w:hAnsi="Arial" w:cs="Arial"/>
                <w:sz w:val="20"/>
                <w:szCs w:val="20"/>
              </w:rPr>
              <w:t xml:space="preserve">Profit after tax in the separate financial statement </w:t>
            </w:r>
          </w:p>
        </w:tc>
        <w:tc>
          <w:tcPr>
            <w:tcW w:w="1620" w:type="dxa"/>
          </w:tcPr>
          <w:p w:rsidR="009D3E1F" w:rsidRDefault="00023E0E" w:rsidP="002D0859">
            <w:pPr>
              <w:spacing w:line="360" w:lineRule="auto"/>
              <w:jc w:val="both"/>
              <w:rPr>
                <w:rFonts w:ascii="Arial" w:hAnsi="Arial" w:cs="Arial"/>
                <w:sz w:val="20"/>
                <w:szCs w:val="20"/>
              </w:rPr>
            </w:pPr>
            <w:r>
              <w:rPr>
                <w:rFonts w:ascii="Arial" w:hAnsi="Arial" w:cs="Arial"/>
                <w:sz w:val="20"/>
                <w:szCs w:val="20"/>
              </w:rPr>
              <w:t>707,154,794</w:t>
            </w:r>
          </w:p>
        </w:tc>
        <w:tc>
          <w:tcPr>
            <w:tcW w:w="1620" w:type="dxa"/>
          </w:tcPr>
          <w:p w:rsidR="009D3E1F" w:rsidRDefault="00023E0E" w:rsidP="00EA67D4">
            <w:pPr>
              <w:spacing w:line="360" w:lineRule="auto"/>
              <w:jc w:val="both"/>
              <w:rPr>
                <w:rFonts w:ascii="Arial" w:hAnsi="Arial" w:cs="Arial"/>
                <w:sz w:val="20"/>
                <w:szCs w:val="20"/>
              </w:rPr>
            </w:pPr>
            <w:r>
              <w:rPr>
                <w:rFonts w:ascii="Arial" w:hAnsi="Arial" w:cs="Arial"/>
                <w:sz w:val="20"/>
                <w:szCs w:val="20"/>
              </w:rPr>
              <w:t>7,524,625,914</w:t>
            </w:r>
          </w:p>
        </w:tc>
        <w:tc>
          <w:tcPr>
            <w:tcW w:w="1620" w:type="dxa"/>
          </w:tcPr>
          <w:p w:rsidR="009D3E1F" w:rsidRDefault="00023E0E" w:rsidP="002D0859">
            <w:pPr>
              <w:spacing w:line="360" w:lineRule="auto"/>
              <w:jc w:val="both"/>
              <w:rPr>
                <w:rFonts w:ascii="Arial" w:hAnsi="Arial" w:cs="Arial"/>
                <w:sz w:val="20"/>
                <w:szCs w:val="20"/>
              </w:rPr>
            </w:pPr>
            <w:r>
              <w:rPr>
                <w:rFonts w:ascii="Arial" w:hAnsi="Arial" w:cs="Arial"/>
                <w:sz w:val="20"/>
                <w:szCs w:val="20"/>
              </w:rPr>
              <w:t>(6,817,471,120)</w:t>
            </w:r>
          </w:p>
        </w:tc>
        <w:tc>
          <w:tcPr>
            <w:tcW w:w="1278" w:type="dxa"/>
          </w:tcPr>
          <w:p w:rsidR="009D3E1F" w:rsidRDefault="00023E0E" w:rsidP="00EA67D4">
            <w:pPr>
              <w:spacing w:line="360" w:lineRule="auto"/>
              <w:jc w:val="both"/>
              <w:rPr>
                <w:rFonts w:ascii="Arial" w:hAnsi="Arial" w:cs="Arial"/>
                <w:sz w:val="20"/>
                <w:szCs w:val="20"/>
              </w:rPr>
            </w:pPr>
            <w:r>
              <w:rPr>
                <w:rFonts w:ascii="Arial" w:hAnsi="Arial" w:cs="Arial"/>
                <w:sz w:val="20"/>
                <w:szCs w:val="20"/>
              </w:rPr>
              <w:t>-90.6%</w:t>
            </w:r>
          </w:p>
        </w:tc>
      </w:tr>
      <w:tr w:rsidR="002D0859" w:rsidTr="00EC79EE">
        <w:tc>
          <w:tcPr>
            <w:tcW w:w="3438" w:type="dxa"/>
          </w:tcPr>
          <w:p w:rsidR="002D0859" w:rsidRDefault="002D0859" w:rsidP="002D0859">
            <w:pPr>
              <w:spacing w:line="360" w:lineRule="auto"/>
              <w:jc w:val="both"/>
              <w:rPr>
                <w:rFonts w:ascii="Arial" w:hAnsi="Arial" w:cs="Arial"/>
                <w:sz w:val="20"/>
                <w:szCs w:val="20"/>
              </w:rPr>
            </w:pPr>
            <w:r>
              <w:rPr>
                <w:rFonts w:ascii="Arial" w:hAnsi="Arial" w:cs="Arial"/>
                <w:sz w:val="20"/>
                <w:szCs w:val="20"/>
              </w:rPr>
              <w:t xml:space="preserve">Profit after tax in the consolidated financial statement </w:t>
            </w:r>
          </w:p>
        </w:tc>
        <w:tc>
          <w:tcPr>
            <w:tcW w:w="1620" w:type="dxa"/>
          </w:tcPr>
          <w:p w:rsidR="002D0859" w:rsidRDefault="00023E0E" w:rsidP="002D0859">
            <w:pPr>
              <w:spacing w:line="360" w:lineRule="auto"/>
              <w:jc w:val="both"/>
              <w:rPr>
                <w:rFonts w:ascii="Arial" w:hAnsi="Arial" w:cs="Arial"/>
                <w:sz w:val="20"/>
                <w:szCs w:val="20"/>
              </w:rPr>
            </w:pPr>
            <w:r>
              <w:rPr>
                <w:rFonts w:ascii="Arial" w:hAnsi="Arial" w:cs="Arial"/>
                <w:sz w:val="20"/>
                <w:szCs w:val="20"/>
              </w:rPr>
              <w:t>(1,367,006,520)</w:t>
            </w:r>
          </w:p>
        </w:tc>
        <w:tc>
          <w:tcPr>
            <w:tcW w:w="1620" w:type="dxa"/>
          </w:tcPr>
          <w:p w:rsidR="002D0859" w:rsidRDefault="00023E0E" w:rsidP="00C15BA8">
            <w:pPr>
              <w:spacing w:line="360" w:lineRule="auto"/>
              <w:jc w:val="both"/>
              <w:rPr>
                <w:rFonts w:ascii="Arial" w:hAnsi="Arial" w:cs="Arial"/>
                <w:sz w:val="20"/>
                <w:szCs w:val="20"/>
              </w:rPr>
            </w:pPr>
            <w:r>
              <w:rPr>
                <w:rFonts w:ascii="Arial" w:hAnsi="Arial" w:cs="Arial"/>
                <w:sz w:val="20"/>
                <w:szCs w:val="20"/>
              </w:rPr>
              <w:t>11,515,669,110</w:t>
            </w:r>
          </w:p>
        </w:tc>
        <w:tc>
          <w:tcPr>
            <w:tcW w:w="1620" w:type="dxa"/>
          </w:tcPr>
          <w:p w:rsidR="002D0859" w:rsidRDefault="00023E0E" w:rsidP="002D0859">
            <w:pPr>
              <w:spacing w:line="360" w:lineRule="auto"/>
              <w:jc w:val="both"/>
              <w:rPr>
                <w:rFonts w:ascii="Arial" w:hAnsi="Arial" w:cs="Arial"/>
                <w:sz w:val="20"/>
                <w:szCs w:val="20"/>
              </w:rPr>
            </w:pPr>
            <w:r>
              <w:rPr>
                <w:rFonts w:ascii="Arial" w:hAnsi="Arial" w:cs="Arial"/>
                <w:sz w:val="20"/>
                <w:szCs w:val="20"/>
              </w:rPr>
              <w:t>(12,882,675,630)</w:t>
            </w:r>
          </w:p>
        </w:tc>
        <w:tc>
          <w:tcPr>
            <w:tcW w:w="1278" w:type="dxa"/>
          </w:tcPr>
          <w:p w:rsidR="002D0859" w:rsidRDefault="00023E0E" w:rsidP="002D0859">
            <w:pPr>
              <w:spacing w:line="360" w:lineRule="auto"/>
              <w:jc w:val="both"/>
              <w:rPr>
                <w:rFonts w:ascii="Arial" w:hAnsi="Arial" w:cs="Arial"/>
                <w:sz w:val="20"/>
                <w:szCs w:val="20"/>
              </w:rPr>
            </w:pPr>
            <w:r>
              <w:rPr>
                <w:rFonts w:ascii="Arial" w:hAnsi="Arial" w:cs="Arial"/>
                <w:sz w:val="20"/>
                <w:szCs w:val="20"/>
              </w:rPr>
              <w:t>-111.8%</w:t>
            </w:r>
          </w:p>
        </w:tc>
      </w:tr>
    </w:tbl>
    <w:p w:rsidR="009D3E1F" w:rsidRDefault="009D3E1F" w:rsidP="00EA67D4">
      <w:pPr>
        <w:spacing w:line="360" w:lineRule="auto"/>
        <w:jc w:val="both"/>
        <w:rPr>
          <w:rFonts w:ascii="Arial" w:hAnsi="Arial" w:cs="Arial"/>
          <w:sz w:val="20"/>
          <w:szCs w:val="20"/>
        </w:rPr>
      </w:pPr>
    </w:p>
    <w:p w:rsidR="00FF6565" w:rsidRDefault="009D3E1F" w:rsidP="00EA67D4">
      <w:pPr>
        <w:spacing w:line="360" w:lineRule="auto"/>
        <w:jc w:val="both"/>
        <w:rPr>
          <w:rFonts w:ascii="Arial" w:hAnsi="Arial" w:cs="Arial"/>
          <w:sz w:val="20"/>
          <w:szCs w:val="20"/>
        </w:rPr>
      </w:pPr>
      <w:r w:rsidRPr="009D3E1F">
        <w:rPr>
          <w:rFonts w:ascii="Arial" w:hAnsi="Arial" w:cs="Arial"/>
          <w:sz w:val="20"/>
          <w:szCs w:val="20"/>
        </w:rPr>
        <w:t>1.  Profit after tax in</w:t>
      </w:r>
      <w:r w:rsidR="00FF6565">
        <w:rPr>
          <w:rFonts w:ascii="Arial" w:hAnsi="Arial" w:cs="Arial"/>
          <w:sz w:val="20"/>
          <w:szCs w:val="20"/>
        </w:rPr>
        <w:t xml:space="preserve"> the separate financial statement of the </w:t>
      </w:r>
      <w:r w:rsidR="00023E0E">
        <w:rPr>
          <w:rFonts w:ascii="Arial" w:hAnsi="Arial" w:cs="Arial"/>
          <w:sz w:val="20"/>
          <w:szCs w:val="20"/>
        </w:rPr>
        <w:t>2</w:t>
      </w:r>
      <w:r w:rsidR="00023E0E" w:rsidRPr="00023E0E">
        <w:rPr>
          <w:rFonts w:ascii="Arial" w:hAnsi="Arial" w:cs="Arial"/>
          <w:sz w:val="20"/>
          <w:szCs w:val="20"/>
          <w:vertAlign w:val="superscript"/>
        </w:rPr>
        <w:t>nd</w:t>
      </w:r>
      <w:r w:rsidR="00FF6565">
        <w:rPr>
          <w:rFonts w:ascii="Arial" w:hAnsi="Arial" w:cs="Arial"/>
          <w:sz w:val="20"/>
          <w:szCs w:val="20"/>
        </w:rPr>
        <w:t xml:space="preserve"> quarter of 2020 </w:t>
      </w:r>
      <w:r w:rsidR="00023E0E">
        <w:rPr>
          <w:rFonts w:ascii="Arial" w:hAnsi="Arial" w:cs="Arial"/>
          <w:sz w:val="20"/>
          <w:szCs w:val="20"/>
        </w:rPr>
        <w:t>de</w:t>
      </w:r>
      <w:r w:rsidR="00FF6565">
        <w:rPr>
          <w:rFonts w:ascii="Arial" w:hAnsi="Arial" w:cs="Arial"/>
          <w:sz w:val="20"/>
          <w:szCs w:val="20"/>
        </w:rPr>
        <w:t xml:space="preserve">creased by </w:t>
      </w:r>
      <w:r w:rsidR="00023E0E">
        <w:rPr>
          <w:rFonts w:ascii="Arial" w:hAnsi="Arial" w:cs="Arial"/>
          <w:sz w:val="20"/>
          <w:szCs w:val="20"/>
        </w:rPr>
        <w:t>90.6</w:t>
      </w:r>
      <w:r w:rsidRPr="009D3E1F">
        <w:rPr>
          <w:rFonts w:ascii="Arial" w:hAnsi="Arial" w:cs="Arial"/>
          <w:sz w:val="20"/>
          <w:szCs w:val="20"/>
        </w:rPr>
        <w:t xml:space="preserve">% </w:t>
      </w:r>
      <w:r w:rsidR="00FF6565">
        <w:rPr>
          <w:rFonts w:ascii="Arial" w:hAnsi="Arial" w:cs="Arial"/>
          <w:sz w:val="20"/>
          <w:szCs w:val="20"/>
        </w:rPr>
        <w:t>compared to</w:t>
      </w:r>
      <w:r w:rsidRPr="009D3E1F">
        <w:rPr>
          <w:rFonts w:ascii="Arial" w:hAnsi="Arial" w:cs="Arial"/>
          <w:sz w:val="20"/>
          <w:szCs w:val="20"/>
        </w:rPr>
        <w:t xml:space="preserve"> the same period in 2019 due to the following reasons: </w:t>
      </w:r>
      <w:bookmarkStart w:id="0" w:name="_GoBack"/>
      <w:bookmarkEnd w:id="0"/>
    </w:p>
    <w:p w:rsidR="00155487" w:rsidRDefault="00023E0E" w:rsidP="00EA67D4">
      <w:pPr>
        <w:spacing w:line="360" w:lineRule="auto"/>
        <w:jc w:val="both"/>
        <w:rPr>
          <w:rFonts w:ascii="Arial" w:hAnsi="Arial" w:cs="Arial"/>
          <w:sz w:val="20"/>
          <w:szCs w:val="20"/>
        </w:rPr>
      </w:pPr>
      <w:r>
        <w:rPr>
          <w:rFonts w:ascii="Arial" w:hAnsi="Arial" w:cs="Arial"/>
          <w:sz w:val="20"/>
          <w:szCs w:val="20"/>
        </w:rPr>
        <w:t>Due to serious influence of Covid 19 epidemics on key business activities of the Corporation, agricultural export operation and domestic trading activities were also impacted badly. Thus, revenue and profit of the Corporation were also seriously affected.</w:t>
      </w:r>
    </w:p>
    <w:p w:rsidR="00023E0E" w:rsidRDefault="00023E0E" w:rsidP="00EA67D4">
      <w:pPr>
        <w:spacing w:line="360" w:lineRule="auto"/>
        <w:jc w:val="both"/>
        <w:rPr>
          <w:rFonts w:ascii="Arial" w:hAnsi="Arial" w:cs="Arial"/>
          <w:sz w:val="20"/>
          <w:szCs w:val="20"/>
        </w:rPr>
      </w:pPr>
      <w:r>
        <w:rPr>
          <w:rFonts w:ascii="Arial" w:hAnsi="Arial" w:cs="Arial"/>
          <w:sz w:val="20"/>
          <w:szCs w:val="20"/>
        </w:rPr>
        <w:t>Added to this, data of last year: Profit in Quarter 2, 2019 was higher than that of this year because the Corporation achieved an amount of other incomes, which came from penalty of contract violation of customers as well as income from share transfer of the Corporation at some joint stock companies that the Company contributed capital before.</w:t>
      </w:r>
    </w:p>
    <w:p w:rsidR="009D3E1F" w:rsidRDefault="001A780A" w:rsidP="00EA67D4">
      <w:pPr>
        <w:spacing w:line="360" w:lineRule="auto"/>
        <w:jc w:val="both"/>
        <w:rPr>
          <w:rFonts w:ascii="Arial" w:hAnsi="Arial" w:cs="Arial"/>
          <w:sz w:val="20"/>
          <w:szCs w:val="20"/>
        </w:rPr>
      </w:pPr>
      <w:r>
        <w:rPr>
          <w:rFonts w:ascii="Arial" w:hAnsi="Arial" w:cs="Arial"/>
          <w:sz w:val="20"/>
          <w:szCs w:val="20"/>
        </w:rPr>
        <w:t>2. Profit after tax in</w:t>
      </w:r>
      <w:r w:rsidR="009D3E1F" w:rsidRPr="009D3E1F">
        <w:rPr>
          <w:rFonts w:ascii="Arial" w:hAnsi="Arial" w:cs="Arial"/>
          <w:sz w:val="20"/>
          <w:szCs w:val="20"/>
        </w:rPr>
        <w:t xml:space="preserve"> the consolidated </w:t>
      </w:r>
      <w:r>
        <w:rPr>
          <w:rFonts w:ascii="Arial" w:hAnsi="Arial" w:cs="Arial"/>
          <w:sz w:val="20"/>
          <w:szCs w:val="20"/>
        </w:rPr>
        <w:t>financial statement</w:t>
      </w:r>
      <w:r w:rsidR="009D3E1F" w:rsidRPr="009D3E1F">
        <w:rPr>
          <w:rFonts w:ascii="Arial" w:hAnsi="Arial" w:cs="Arial"/>
          <w:sz w:val="20"/>
          <w:szCs w:val="20"/>
        </w:rPr>
        <w:t xml:space="preserve"> in the </w:t>
      </w:r>
      <w:r w:rsidR="00F327CA">
        <w:rPr>
          <w:rFonts w:ascii="Arial" w:hAnsi="Arial" w:cs="Arial"/>
          <w:sz w:val="20"/>
          <w:szCs w:val="20"/>
        </w:rPr>
        <w:t>2</w:t>
      </w:r>
      <w:r w:rsidR="00F327CA" w:rsidRPr="00F327CA">
        <w:rPr>
          <w:rFonts w:ascii="Arial" w:hAnsi="Arial" w:cs="Arial"/>
          <w:sz w:val="20"/>
          <w:szCs w:val="20"/>
          <w:vertAlign w:val="superscript"/>
        </w:rPr>
        <w:t>nd</w:t>
      </w:r>
      <w:r w:rsidR="009D3E1F" w:rsidRPr="009D3E1F">
        <w:rPr>
          <w:rFonts w:ascii="Arial" w:hAnsi="Arial" w:cs="Arial"/>
          <w:sz w:val="20"/>
          <w:szCs w:val="20"/>
        </w:rPr>
        <w:t xml:space="preserve"> quarter of 2020 </w:t>
      </w:r>
      <w:r>
        <w:rPr>
          <w:rFonts w:ascii="Arial" w:hAnsi="Arial" w:cs="Arial"/>
          <w:sz w:val="20"/>
          <w:szCs w:val="20"/>
        </w:rPr>
        <w:t xml:space="preserve">decreased by </w:t>
      </w:r>
      <w:r w:rsidR="00F327CA">
        <w:rPr>
          <w:rFonts w:ascii="Arial" w:hAnsi="Arial" w:cs="Arial"/>
          <w:sz w:val="20"/>
          <w:szCs w:val="20"/>
        </w:rPr>
        <w:t>111.8</w:t>
      </w:r>
      <w:r>
        <w:rPr>
          <w:rFonts w:ascii="Arial" w:hAnsi="Arial" w:cs="Arial"/>
          <w:sz w:val="20"/>
          <w:szCs w:val="20"/>
        </w:rPr>
        <w:t>% compared to the same period in 2019 mainly due to the decrease in</w:t>
      </w:r>
      <w:r w:rsidR="009D3E1F" w:rsidRPr="009D3E1F">
        <w:rPr>
          <w:rFonts w:ascii="Arial" w:hAnsi="Arial" w:cs="Arial"/>
          <w:sz w:val="20"/>
          <w:szCs w:val="20"/>
        </w:rPr>
        <w:t xml:space="preserve"> the profit of the </w:t>
      </w:r>
      <w:r w:rsidR="00F327CA">
        <w:rPr>
          <w:rFonts w:ascii="Arial" w:hAnsi="Arial" w:cs="Arial"/>
          <w:sz w:val="20"/>
          <w:szCs w:val="20"/>
        </w:rPr>
        <w:t>holding company with main reasons as stipulated in Article 1 above</w:t>
      </w:r>
      <w:r w:rsidR="009D3E1F" w:rsidRPr="009D3E1F">
        <w:rPr>
          <w:rFonts w:ascii="Arial" w:hAnsi="Arial" w:cs="Arial"/>
          <w:sz w:val="20"/>
          <w:szCs w:val="20"/>
        </w:rPr>
        <w:t xml:space="preserve">. </w:t>
      </w:r>
      <w:r w:rsidR="00F327CA">
        <w:rPr>
          <w:rFonts w:ascii="Arial" w:hAnsi="Arial" w:cs="Arial"/>
          <w:sz w:val="20"/>
          <w:szCs w:val="20"/>
        </w:rPr>
        <w:t xml:space="preserve">Furthermore, profit after tax in Quarter 2, 2020 got loss due to loss of profit of subsidiaries. </w:t>
      </w:r>
      <w:r w:rsidR="00E233EF">
        <w:rPr>
          <w:rFonts w:ascii="Arial" w:hAnsi="Arial" w:cs="Arial"/>
          <w:sz w:val="20"/>
          <w:szCs w:val="20"/>
        </w:rPr>
        <w:t>The s</w:t>
      </w:r>
      <w:r w:rsidR="009D3E1F" w:rsidRPr="009D3E1F">
        <w:rPr>
          <w:rFonts w:ascii="Arial" w:hAnsi="Arial" w:cs="Arial"/>
          <w:sz w:val="20"/>
          <w:szCs w:val="20"/>
        </w:rPr>
        <w:t>ub</w:t>
      </w:r>
      <w:r w:rsidR="00FA4FE2">
        <w:rPr>
          <w:rFonts w:ascii="Arial" w:hAnsi="Arial" w:cs="Arial"/>
          <w:sz w:val="20"/>
          <w:szCs w:val="20"/>
        </w:rPr>
        <w:t xml:space="preserve">sidiaries of the Corporation </w:t>
      </w:r>
      <w:r w:rsidR="002069A1">
        <w:rPr>
          <w:rFonts w:ascii="Arial" w:hAnsi="Arial" w:cs="Arial"/>
          <w:sz w:val="20"/>
          <w:szCs w:val="20"/>
        </w:rPr>
        <w:t>specialize</w:t>
      </w:r>
      <w:r w:rsidR="00F327CA">
        <w:rPr>
          <w:rFonts w:ascii="Arial" w:hAnsi="Arial" w:cs="Arial"/>
          <w:sz w:val="20"/>
          <w:szCs w:val="20"/>
        </w:rPr>
        <w:t xml:space="preserve"> in production and business in food service, travel service, handicraft trading and export operations and so on. These activities were also seriously influenced by Covid 19 epidemics.</w:t>
      </w:r>
    </w:p>
    <w:sectPr w:rsidR="009D3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34DA"/>
    <w:rsid w:val="0002327A"/>
    <w:rsid w:val="00023E0E"/>
    <w:rsid w:val="00026B30"/>
    <w:rsid w:val="00041B1A"/>
    <w:rsid w:val="00073028"/>
    <w:rsid w:val="00073FE8"/>
    <w:rsid w:val="00076CCB"/>
    <w:rsid w:val="0008067D"/>
    <w:rsid w:val="00090ACE"/>
    <w:rsid w:val="000A58B1"/>
    <w:rsid w:val="000A79D8"/>
    <w:rsid w:val="000B0FD0"/>
    <w:rsid w:val="000B33BC"/>
    <w:rsid w:val="000E15ED"/>
    <w:rsid w:val="000E5BBD"/>
    <w:rsid w:val="0010357F"/>
    <w:rsid w:val="001054E5"/>
    <w:rsid w:val="0012502D"/>
    <w:rsid w:val="00125C9D"/>
    <w:rsid w:val="00155487"/>
    <w:rsid w:val="001654BA"/>
    <w:rsid w:val="001A017D"/>
    <w:rsid w:val="001A780A"/>
    <w:rsid w:val="001B2DAC"/>
    <w:rsid w:val="001E4D76"/>
    <w:rsid w:val="00204DDC"/>
    <w:rsid w:val="002069A1"/>
    <w:rsid w:val="00217C3D"/>
    <w:rsid w:val="0024099C"/>
    <w:rsid w:val="00244C92"/>
    <w:rsid w:val="00256DF0"/>
    <w:rsid w:val="0025770D"/>
    <w:rsid w:val="0026711C"/>
    <w:rsid w:val="00283DFF"/>
    <w:rsid w:val="00293FEB"/>
    <w:rsid w:val="00297425"/>
    <w:rsid w:val="002B59F4"/>
    <w:rsid w:val="002D0859"/>
    <w:rsid w:val="002D2BA7"/>
    <w:rsid w:val="002E1D14"/>
    <w:rsid w:val="00303E63"/>
    <w:rsid w:val="00330005"/>
    <w:rsid w:val="00336B0D"/>
    <w:rsid w:val="00346788"/>
    <w:rsid w:val="00353B40"/>
    <w:rsid w:val="003812F4"/>
    <w:rsid w:val="00385717"/>
    <w:rsid w:val="003A771E"/>
    <w:rsid w:val="003B2570"/>
    <w:rsid w:val="00467BC0"/>
    <w:rsid w:val="004954D8"/>
    <w:rsid w:val="00496733"/>
    <w:rsid w:val="004A7E66"/>
    <w:rsid w:val="004B0E3B"/>
    <w:rsid w:val="004B5C61"/>
    <w:rsid w:val="004C6739"/>
    <w:rsid w:val="004C7900"/>
    <w:rsid w:val="004E68F1"/>
    <w:rsid w:val="005008A0"/>
    <w:rsid w:val="0057594E"/>
    <w:rsid w:val="0058021C"/>
    <w:rsid w:val="00591347"/>
    <w:rsid w:val="00594B24"/>
    <w:rsid w:val="00595C34"/>
    <w:rsid w:val="005A0A44"/>
    <w:rsid w:val="005B0276"/>
    <w:rsid w:val="005C1167"/>
    <w:rsid w:val="005E7D00"/>
    <w:rsid w:val="005F5436"/>
    <w:rsid w:val="006033FC"/>
    <w:rsid w:val="0060744D"/>
    <w:rsid w:val="0063149F"/>
    <w:rsid w:val="006623D8"/>
    <w:rsid w:val="00675C63"/>
    <w:rsid w:val="00680BC9"/>
    <w:rsid w:val="00695103"/>
    <w:rsid w:val="006E13A2"/>
    <w:rsid w:val="006E3B6D"/>
    <w:rsid w:val="006F778A"/>
    <w:rsid w:val="00701C87"/>
    <w:rsid w:val="00701F46"/>
    <w:rsid w:val="007028B7"/>
    <w:rsid w:val="0072584C"/>
    <w:rsid w:val="00740A0C"/>
    <w:rsid w:val="00745D9A"/>
    <w:rsid w:val="00761E26"/>
    <w:rsid w:val="00795EA8"/>
    <w:rsid w:val="007D449B"/>
    <w:rsid w:val="007F3C6C"/>
    <w:rsid w:val="007F6A0E"/>
    <w:rsid w:val="007F7DB7"/>
    <w:rsid w:val="00804583"/>
    <w:rsid w:val="008078B6"/>
    <w:rsid w:val="00820328"/>
    <w:rsid w:val="00831901"/>
    <w:rsid w:val="0084703C"/>
    <w:rsid w:val="008574C3"/>
    <w:rsid w:val="0088081B"/>
    <w:rsid w:val="008854CF"/>
    <w:rsid w:val="00887B6C"/>
    <w:rsid w:val="00887C3A"/>
    <w:rsid w:val="0089624F"/>
    <w:rsid w:val="008A40F1"/>
    <w:rsid w:val="008B085F"/>
    <w:rsid w:val="008B17BB"/>
    <w:rsid w:val="008C2B4C"/>
    <w:rsid w:val="008D5C54"/>
    <w:rsid w:val="008E2D1E"/>
    <w:rsid w:val="00900C3E"/>
    <w:rsid w:val="0091483D"/>
    <w:rsid w:val="00981C95"/>
    <w:rsid w:val="009C1200"/>
    <w:rsid w:val="009D3E1F"/>
    <w:rsid w:val="00A16A85"/>
    <w:rsid w:val="00A308E4"/>
    <w:rsid w:val="00A31456"/>
    <w:rsid w:val="00A62855"/>
    <w:rsid w:val="00A81EB3"/>
    <w:rsid w:val="00AA01BA"/>
    <w:rsid w:val="00AF67BE"/>
    <w:rsid w:val="00B22DA5"/>
    <w:rsid w:val="00B40E78"/>
    <w:rsid w:val="00B82455"/>
    <w:rsid w:val="00BA2C42"/>
    <w:rsid w:val="00BA721C"/>
    <w:rsid w:val="00BC16A6"/>
    <w:rsid w:val="00BF30C1"/>
    <w:rsid w:val="00C04449"/>
    <w:rsid w:val="00C075A7"/>
    <w:rsid w:val="00C13F9F"/>
    <w:rsid w:val="00C15BA8"/>
    <w:rsid w:val="00C324E9"/>
    <w:rsid w:val="00C72FFB"/>
    <w:rsid w:val="00C761E0"/>
    <w:rsid w:val="00CA41E5"/>
    <w:rsid w:val="00CA6F06"/>
    <w:rsid w:val="00CC15D8"/>
    <w:rsid w:val="00CD493C"/>
    <w:rsid w:val="00D06CA1"/>
    <w:rsid w:val="00D61AB5"/>
    <w:rsid w:val="00D778AE"/>
    <w:rsid w:val="00DA6845"/>
    <w:rsid w:val="00DD507A"/>
    <w:rsid w:val="00DE0692"/>
    <w:rsid w:val="00E0363A"/>
    <w:rsid w:val="00E11EBD"/>
    <w:rsid w:val="00E1367F"/>
    <w:rsid w:val="00E154B3"/>
    <w:rsid w:val="00E233EF"/>
    <w:rsid w:val="00E36A48"/>
    <w:rsid w:val="00E46F08"/>
    <w:rsid w:val="00E534B9"/>
    <w:rsid w:val="00EA098E"/>
    <w:rsid w:val="00EA67D4"/>
    <w:rsid w:val="00EA6E4A"/>
    <w:rsid w:val="00EC79EE"/>
    <w:rsid w:val="00ED31AF"/>
    <w:rsid w:val="00EE0CC2"/>
    <w:rsid w:val="00EF7457"/>
    <w:rsid w:val="00F02E19"/>
    <w:rsid w:val="00F163FC"/>
    <w:rsid w:val="00F327CA"/>
    <w:rsid w:val="00F36B9E"/>
    <w:rsid w:val="00F44E86"/>
    <w:rsid w:val="00F61528"/>
    <w:rsid w:val="00F655B9"/>
    <w:rsid w:val="00F85153"/>
    <w:rsid w:val="00F9058F"/>
    <w:rsid w:val="00FA4FE2"/>
    <w:rsid w:val="00FD2D19"/>
    <w:rsid w:val="00FD731F"/>
    <w:rsid w:val="00FE5981"/>
    <w:rsid w:val="00FF1523"/>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1350"/>
  <w15:docId w15:val="{3B344AA8-8090-498C-BC3C-E336F12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0956">
      <w:bodyDiv w:val="1"/>
      <w:marLeft w:val="0"/>
      <w:marRight w:val="0"/>
      <w:marTop w:val="0"/>
      <w:marBottom w:val="0"/>
      <w:divBdr>
        <w:top w:val="none" w:sz="0" w:space="0" w:color="auto"/>
        <w:left w:val="none" w:sz="0" w:space="0" w:color="auto"/>
        <w:bottom w:val="none" w:sz="0" w:space="0" w:color="auto"/>
        <w:right w:val="none" w:sz="0" w:space="0" w:color="auto"/>
      </w:divBdr>
    </w:div>
    <w:div w:id="1012949951">
      <w:bodyDiv w:val="1"/>
      <w:marLeft w:val="0"/>
      <w:marRight w:val="0"/>
      <w:marTop w:val="0"/>
      <w:marBottom w:val="0"/>
      <w:divBdr>
        <w:top w:val="none" w:sz="0" w:space="0" w:color="auto"/>
        <w:left w:val="none" w:sz="0" w:space="0" w:color="auto"/>
        <w:bottom w:val="none" w:sz="0" w:space="0" w:color="auto"/>
        <w:right w:val="none" w:sz="0" w:space="0" w:color="auto"/>
      </w:divBdr>
    </w:div>
    <w:div w:id="1250119359">
      <w:bodyDiv w:val="1"/>
      <w:marLeft w:val="0"/>
      <w:marRight w:val="0"/>
      <w:marTop w:val="0"/>
      <w:marBottom w:val="0"/>
      <w:divBdr>
        <w:top w:val="none" w:sz="0" w:space="0" w:color="auto"/>
        <w:left w:val="none" w:sz="0" w:space="0" w:color="auto"/>
        <w:bottom w:val="none" w:sz="0" w:space="0" w:color="auto"/>
        <w:right w:val="none" w:sz="0" w:space="0" w:color="auto"/>
      </w:divBdr>
    </w:div>
    <w:div w:id="1342661914">
      <w:bodyDiv w:val="1"/>
      <w:marLeft w:val="0"/>
      <w:marRight w:val="0"/>
      <w:marTop w:val="0"/>
      <w:marBottom w:val="0"/>
      <w:divBdr>
        <w:top w:val="none" w:sz="0" w:space="0" w:color="auto"/>
        <w:left w:val="none" w:sz="0" w:space="0" w:color="auto"/>
        <w:bottom w:val="none" w:sz="0" w:space="0" w:color="auto"/>
        <w:right w:val="none" w:sz="0" w:space="0" w:color="auto"/>
      </w:divBdr>
    </w:div>
    <w:div w:id="1435370026">
      <w:bodyDiv w:val="1"/>
      <w:marLeft w:val="0"/>
      <w:marRight w:val="0"/>
      <w:marTop w:val="0"/>
      <w:marBottom w:val="0"/>
      <w:divBdr>
        <w:top w:val="none" w:sz="0" w:space="0" w:color="auto"/>
        <w:left w:val="none" w:sz="0" w:space="0" w:color="auto"/>
        <w:bottom w:val="none" w:sz="0" w:space="0" w:color="auto"/>
        <w:right w:val="none" w:sz="0" w:space="0" w:color="auto"/>
      </w:divBdr>
    </w:div>
    <w:div w:id="20345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142</cp:revision>
  <dcterms:created xsi:type="dcterms:W3CDTF">2019-10-16T10:03:00Z</dcterms:created>
  <dcterms:modified xsi:type="dcterms:W3CDTF">2020-08-04T09:31:00Z</dcterms:modified>
</cp:coreProperties>
</file>